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1" w:rsidRPr="005D6087" w:rsidRDefault="00DA25E1" w:rsidP="00DA25E1">
      <w:pPr>
        <w:ind w:left="4254"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 xml:space="preserve">Приложение </w:t>
      </w:r>
    </w:p>
    <w:p w:rsidR="00DA25E1" w:rsidRPr="005D6087" w:rsidRDefault="00DA25E1" w:rsidP="00DA25E1">
      <w:pPr>
        <w:pStyle w:val="ConsNonformat"/>
        <w:widowControl/>
        <w:ind w:left="4678" w:firstLine="285"/>
        <w:jc w:val="both"/>
        <w:rPr>
          <w:rFonts w:ascii="Times New Roman" w:hAnsi="Times New Roman"/>
          <w:sz w:val="28"/>
          <w:szCs w:val="28"/>
        </w:rPr>
      </w:pPr>
      <w:r w:rsidRPr="005D6087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DA25E1" w:rsidRPr="005D6087" w:rsidRDefault="00DA25E1" w:rsidP="00DA25E1">
      <w:pPr>
        <w:pStyle w:val="ConsNonformat"/>
        <w:widowControl/>
        <w:ind w:left="4678" w:firstLine="285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5D608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муниципального округа Войковский </w:t>
      </w:r>
    </w:p>
    <w:p w:rsidR="00DA25E1" w:rsidRPr="005D6087" w:rsidRDefault="00DA25E1" w:rsidP="00DA25E1">
      <w:pPr>
        <w:pStyle w:val="ConsNonformat"/>
        <w:widowControl/>
        <w:ind w:left="4393" w:firstLine="570"/>
        <w:jc w:val="both"/>
        <w:rPr>
          <w:rFonts w:ascii="Times New Roman" w:hAnsi="Times New Roman"/>
          <w:sz w:val="28"/>
          <w:szCs w:val="28"/>
        </w:rPr>
      </w:pPr>
      <w:r w:rsidRPr="005D6087">
        <w:rPr>
          <w:rFonts w:ascii="Times New Roman" w:hAnsi="Times New Roman"/>
          <w:bCs/>
          <w:color w:val="000000"/>
          <w:spacing w:val="-3"/>
          <w:sz w:val="28"/>
          <w:szCs w:val="28"/>
        </w:rPr>
        <w:t>от 14.02.2017 №02/03</w:t>
      </w:r>
    </w:p>
    <w:p w:rsidR="00DA25E1" w:rsidRPr="005D6087" w:rsidRDefault="00DA25E1" w:rsidP="00DA25E1">
      <w:pPr>
        <w:rPr>
          <w:b/>
          <w:color w:val="000000"/>
          <w:sz w:val="28"/>
          <w:szCs w:val="28"/>
        </w:rPr>
      </w:pPr>
    </w:p>
    <w:p w:rsidR="00DA25E1" w:rsidRPr="005D6087" w:rsidRDefault="00DA25E1" w:rsidP="00DA25E1">
      <w:pPr>
        <w:pStyle w:val="a3"/>
        <w:ind w:firstLine="709"/>
        <w:rPr>
          <w:b w:val="0"/>
          <w:sz w:val="28"/>
          <w:szCs w:val="28"/>
        </w:rPr>
      </w:pPr>
      <w:r w:rsidRPr="005D6087">
        <w:rPr>
          <w:sz w:val="28"/>
          <w:szCs w:val="28"/>
        </w:rPr>
        <w:t xml:space="preserve">Итоги работы </w:t>
      </w:r>
      <w:r w:rsidRPr="0000180E">
        <w:rPr>
          <w:sz w:val="28"/>
          <w:szCs w:val="28"/>
        </w:rPr>
        <w:t>Совета депутатов</w:t>
      </w:r>
      <w:r w:rsidRPr="005D6087">
        <w:rPr>
          <w:b w:val="0"/>
          <w:sz w:val="28"/>
          <w:szCs w:val="28"/>
        </w:rPr>
        <w:t xml:space="preserve"> </w:t>
      </w:r>
    </w:p>
    <w:p w:rsidR="00DA25E1" w:rsidRPr="005D6087" w:rsidRDefault="00DA25E1" w:rsidP="00DA25E1">
      <w:pPr>
        <w:ind w:firstLine="709"/>
        <w:jc w:val="center"/>
        <w:rPr>
          <w:b/>
          <w:sz w:val="28"/>
          <w:szCs w:val="28"/>
        </w:rPr>
      </w:pPr>
      <w:r w:rsidRPr="005D6087">
        <w:rPr>
          <w:b/>
          <w:sz w:val="28"/>
          <w:szCs w:val="28"/>
        </w:rPr>
        <w:t>муниципального округа Войковский за 2016 год</w:t>
      </w:r>
    </w:p>
    <w:p w:rsidR="00DA25E1" w:rsidRPr="005D6087" w:rsidRDefault="00DA25E1" w:rsidP="00DA25E1">
      <w:pPr>
        <w:ind w:firstLine="709"/>
        <w:jc w:val="center"/>
        <w:rPr>
          <w:b/>
          <w:sz w:val="28"/>
          <w:szCs w:val="28"/>
        </w:rPr>
      </w:pP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За 2016 год проведено 14 заседаний Совета депутатов муниципального округа Войковский (далее – Совета депутатов), на которых рассмотрено 146 вопр</w:t>
      </w:r>
      <w:r w:rsidRPr="005D6087">
        <w:rPr>
          <w:sz w:val="28"/>
          <w:szCs w:val="28"/>
        </w:rPr>
        <w:t>о</w:t>
      </w:r>
      <w:r w:rsidRPr="005D6087">
        <w:rPr>
          <w:sz w:val="28"/>
          <w:szCs w:val="28"/>
        </w:rPr>
        <w:t>сов, в том числе с принятием решений – 137.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proofErr w:type="gramStart"/>
      <w:r w:rsidRPr="005D6087">
        <w:rPr>
          <w:sz w:val="28"/>
          <w:szCs w:val="28"/>
        </w:rPr>
        <w:t>В заседаниях Совета депутатов принимали участие: и.о. главы управы Войковского района Каргин Н.И., замест</w:t>
      </w:r>
      <w:r w:rsidRPr="005D6087">
        <w:rPr>
          <w:sz w:val="28"/>
          <w:szCs w:val="28"/>
        </w:rPr>
        <w:t>и</w:t>
      </w:r>
      <w:r w:rsidRPr="005D6087">
        <w:rPr>
          <w:sz w:val="28"/>
          <w:szCs w:val="28"/>
        </w:rPr>
        <w:t>тели главы управы, глава администрации Скоробогатов Б.А., заместитель главы администрации Мочалова В.А., муниципальные служащие администрации, представители органов государственной власти, Совета муниципальных образований города Москвы, общественных организаций и учрежд</w:t>
      </w:r>
      <w:r w:rsidRPr="005D6087">
        <w:rPr>
          <w:sz w:val="28"/>
          <w:szCs w:val="28"/>
        </w:rPr>
        <w:t>е</w:t>
      </w:r>
      <w:r w:rsidRPr="005D6087">
        <w:rPr>
          <w:sz w:val="28"/>
          <w:szCs w:val="28"/>
        </w:rPr>
        <w:t xml:space="preserve">ний, в том числе председатель ОПОП </w:t>
      </w:r>
      <w:proofErr w:type="spellStart"/>
      <w:r w:rsidRPr="005D6087">
        <w:rPr>
          <w:sz w:val="28"/>
          <w:szCs w:val="28"/>
        </w:rPr>
        <w:t>Зенин</w:t>
      </w:r>
      <w:proofErr w:type="spellEnd"/>
      <w:r w:rsidRPr="005D6087">
        <w:rPr>
          <w:sz w:val="28"/>
          <w:szCs w:val="28"/>
        </w:rPr>
        <w:t xml:space="preserve"> А.В., жители муниципального округа Войковский. </w:t>
      </w:r>
      <w:proofErr w:type="gramEnd"/>
    </w:p>
    <w:p w:rsidR="00DA25E1" w:rsidRPr="005D6087" w:rsidRDefault="00DA25E1" w:rsidP="00DA25E1">
      <w:pPr>
        <w:pStyle w:val="3"/>
        <w:ind w:firstLine="709"/>
        <w:rPr>
          <w:szCs w:val="28"/>
        </w:rPr>
      </w:pPr>
      <w:r w:rsidRPr="005D6087">
        <w:rPr>
          <w:szCs w:val="28"/>
        </w:rPr>
        <w:t>Контроль за исполнением решений Совета депутатов возлагался на главу муниципального округа Войковский – Гребенкину И.Ю. (13</w:t>
      </w:r>
      <w:r w:rsidRPr="005D6087">
        <w:rPr>
          <w:szCs w:val="28"/>
          <w:lang w:val="ru-RU"/>
        </w:rPr>
        <w:t>7</w:t>
      </w:r>
      <w:r w:rsidRPr="005D6087">
        <w:rPr>
          <w:szCs w:val="28"/>
        </w:rPr>
        <w:t>).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Количество рассмотренных вопросов по каждому направлению: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709"/>
      </w:tblGrid>
      <w:tr w:rsidR="00DA25E1" w:rsidRPr="005D6087" w:rsidTr="001847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A25E1" w:rsidRPr="005D6087" w:rsidRDefault="00DA25E1" w:rsidP="00184726">
            <w:pPr>
              <w:rPr>
                <w:b/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 xml:space="preserve"> </w:t>
            </w:r>
            <w:r w:rsidRPr="005D6087">
              <w:rPr>
                <w:b/>
                <w:sz w:val="28"/>
                <w:szCs w:val="28"/>
              </w:rPr>
              <w:t>Реализация отдельных полномочий города Москвы: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5E1" w:rsidRPr="005D6087" w:rsidRDefault="00DA25E1" w:rsidP="00184726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5E1" w:rsidRPr="005D6087" w:rsidRDefault="00DA25E1" w:rsidP="0018472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25E1" w:rsidRPr="005D6087" w:rsidRDefault="00DA25E1" w:rsidP="00184726">
            <w:pPr>
              <w:ind w:right="-108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в сфере организации деятельности Управы и других городских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1" w:rsidRPr="005D6087" w:rsidRDefault="00DA25E1" w:rsidP="00184726">
            <w:pPr>
              <w:jc w:val="center"/>
              <w:rPr>
                <w:sz w:val="28"/>
                <w:szCs w:val="28"/>
              </w:rPr>
            </w:pPr>
          </w:p>
          <w:p w:rsidR="00DA25E1" w:rsidRPr="005D6087" w:rsidRDefault="00DA25E1" w:rsidP="00184726">
            <w:pPr>
              <w:jc w:val="center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8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5E1" w:rsidRPr="005D6087" w:rsidRDefault="00DA25E1" w:rsidP="0018472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1" w:rsidRPr="005D6087" w:rsidRDefault="00DA25E1" w:rsidP="00184726">
            <w:pPr>
              <w:jc w:val="center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28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5E1" w:rsidRPr="005D6087" w:rsidRDefault="00DA25E1" w:rsidP="0018472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в сфере капитального ремонта и содержания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1" w:rsidRPr="005D6087" w:rsidRDefault="00DA25E1" w:rsidP="00184726">
            <w:pPr>
              <w:jc w:val="center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5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5E1" w:rsidRPr="005D6087" w:rsidRDefault="00DA25E1" w:rsidP="0018472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В сфере размещения некапитальных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1" w:rsidRPr="005D6087" w:rsidRDefault="00DA25E1" w:rsidP="00184726">
            <w:pPr>
              <w:jc w:val="center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11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5E1" w:rsidRPr="005D6087" w:rsidRDefault="00DA25E1" w:rsidP="00184726">
            <w:pPr>
              <w:ind w:firstLine="709"/>
              <w:jc w:val="center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у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Утверждение планов мероприятий по социально-экономическому 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1" w:rsidRPr="005D6087" w:rsidRDefault="00DA25E1" w:rsidP="00184726">
            <w:pPr>
              <w:jc w:val="center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1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67" w:type="dxa"/>
          </w:tcPr>
          <w:p w:rsidR="00DA25E1" w:rsidRPr="005D6087" w:rsidRDefault="00DA25E1" w:rsidP="0018472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В сфере работы с населением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1" w:rsidRPr="005D6087" w:rsidRDefault="00DA25E1" w:rsidP="00184726">
            <w:pPr>
              <w:jc w:val="center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6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25E1" w:rsidRPr="005D6087" w:rsidRDefault="00DA25E1" w:rsidP="00184726">
            <w:pPr>
              <w:rPr>
                <w:b/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>Вопросы 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1" w:rsidRPr="005D6087" w:rsidRDefault="00DA25E1" w:rsidP="00184726">
            <w:pPr>
              <w:jc w:val="center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34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25E1" w:rsidRPr="005D6087" w:rsidRDefault="00DA25E1" w:rsidP="00184726">
            <w:pPr>
              <w:rPr>
                <w:b/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 xml:space="preserve">Вопросы организации работы администрации и </w:t>
            </w:r>
          </w:p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>Совета депут</w:t>
            </w:r>
            <w:r w:rsidRPr="005D6087">
              <w:rPr>
                <w:b/>
                <w:sz w:val="28"/>
                <w:szCs w:val="28"/>
              </w:rPr>
              <w:t>а</w:t>
            </w:r>
            <w:r w:rsidRPr="005D6087">
              <w:rPr>
                <w:b/>
                <w:sz w:val="28"/>
                <w:szCs w:val="28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1" w:rsidRPr="005D6087" w:rsidRDefault="00DA25E1" w:rsidP="00184726">
            <w:pPr>
              <w:jc w:val="center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20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25E1" w:rsidRPr="005D6087" w:rsidRDefault="00DA25E1" w:rsidP="00184726">
            <w:pPr>
              <w:rPr>
                <w:b/>
                <w:sz w:val="28"/>
                <w:szCs w:val="28"/>
              </w:rPr>
            </w:pPr>
            <w:proofErr w:type="gramStart"/>
            <w:r w:rsidRPr="005D6087">
              <w:rPr>
                <w:b/>
                <w:sz w:val="28"/>
                <w:szCs w:val="28"/>
              </w:rPr>
              <w:t>Принятые</w:t>
            </w:r>
            <w:proofErr w:type="gramEnd"/>
            <w:r w:rsidRPr="005D6087">
              <w:rPr>
                <w:b/>
                <w:sz w:val="28"/>
                <w:szCs w:val="28"/>
              </w:rPr>
              <w:t xml:space="preserve"> НПА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1" w:rsidRPr="005D6087" w:rsidRDefault="00DA25E1" w:rsidP="00184726">
            <w:pPr>
              <w:jc w:val="center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20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7" w:type="dxa"/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Иные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1" w:rsidRPr="005D6087" w:rsidRDefault="00DA25E1" w:rsidP="00184726">
            <w:pPr>
              <w:jc w:val="center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4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</w:tcPr>
          <w:p w:rsidR="00DA25E1" w:rsidRPr="005D6087" w:rsidRDefault="00DA25E1" w:rsidP="0018472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1" w:rsidRPr="005D6087" w:rsidRDefault="00DA25E1" w:rsidP="00184726">
            <w:pPr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137</w:t>
            </w:r>
          </w:p>
        </w:tc>
      </w:tr>
    </w:tbl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lastRenderedPageBreak/>
        <w:t>Наиболее важные и актуальные вопросы, которые рассматривались на зас</w:t>
      </w:r>
      <w:r w:rsidRPr="005D6087">
        <w:rPr>
          <w:sz w:val="28"/>
          <w:szCs w:val="28"/>
        </w:rPr>
        <w:t>е</w:t>
      </w:r>
      <w:r w:rsidRPr="005D6087">
        <w:rPr>
          <w:sz w:val="28"/>
          <w:szCs w:val="28"/>
        </w:rPr>
        <w:t>даниях Совета депутатов: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 xml:space="preserve">1) О мероприятиях по социально-экономическому развитию Войковского района. 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2) О распределении средств, выделенных на стимулирование управы Войковского района.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3) О проведении мероприятий по ВКР многоквартирных жилых домов на территории Войковского района.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4) О проведении мероприятий по благоустройству территории Войковского района.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5) О проекте планировки ТПУ «Волоколамская».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6) Об отчете главы управы Войковского района города Москвы.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7) Об информации руководителей организаций Войковского района.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 xml:space="preserve">8) О согласовании Проекта правил землепользования и </w:t>
      </w:r>
      <w:proofErr w:type="gramStart"/>
      <w:r w:rsidRPr="005D6087">
        <w:rPr>
          <w:sz w:val="28"/>
          <w:szCs w:val="28"/>
        </w:rPr>
        <w:t>застройки города</w:t>
      </w:r>
      <w:proofErr w:type="gramEnd"/>
      <w:r w:rsidRPr="005D6087">
        <w:rPr>
          <w:sz w:val="28"/>
          <w:szCs w:val="28"/>
        </w:rPr>
        <w:t xml:space="preserve"> Москвы.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9) О согласовании установки ограждающих устройств на придомовых территориях.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 xml:space="preserve">10) Об исполнении бюджета муниципального округа Войковский за 2016 год. 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11) О бюджете муниципального округа Войковский на 2017 год и плановый период 2018 и 2019 годов.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12). Об утверждении планов расходов на проведение праздничных мероприятий и мероприятий по военно-патриотическому воспитанию на 2017-2018 гг.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proofErr w:type="gramStart"/>
      <w:r w:rsidRPr="005D6087">
        <w:rPr>
          <w:sz w:val="28"/>
          <w:szCs w:val="28"/>
        </w:rPr>
        <w:t xml:space="preserve">Особо следует отметить работу Совета депутатов по реализации Закона города Москвы </w:t>
      </w:r>
      <w:r w:rsidRPr="005D6087">
        <w:rPr>
          <w:bCs/>
          <w:sz w:val="28"/>
          <w:szCs w:val="28"/>
        </w:rPr>
        <w:t>от 11.07.2012 N 39 «О наделении органов местного сам</w:t>
      </w:r>
      <w:r w:rsidRPr="005D6087">
        <w:rPr>
          <w:bCs/>
          <w:sz w:val="28"/>
          <w:szCs w:val="28"/>
        </w:rPr>
        <w:t>о</w:t>
      </w:r>
      <w:r w:rsidRPr="005D6087">
        <w:rPr>
          <w:bCs/>
          <w:sz w:val="28"/>
          <w:szCs w:val="28"/>
        </w:rPr>
        <w:t>управления муниципальных округов в городе Москве отдельными полномочиями города Москвы», согласно которому Совет депутатов наделен рядом полномочий в сф</w:t>
      </w:r>
      <w:r w:rsidRPr="005D6087">
        <w:rPr>
          <w:bCs/>
          <w:sz w:val="28"/>
          <w:szCs w:val="28"/>
        </w:rPr>
        <w:t>е</w:t>
      </w:r>
      <w:r w:rsidRPr="005D6087">
        <w:rPr>
          <w:bCs/>
          <w:sz w:val="28"/>
          <w:szCs w:val="28"/>
        </w:rPr>
        <w:t xml:space="preserve">ре благоустройства территории района, капитального ремонта и содержания жилищного фонда, </w:t>
      </w:r>
      <w:r w:rsidRPr="005D6087">
        <w:rPr>
          <w:sz w:val="28"/>
          <w:szCs w:val="28"/>
        </w:rPr>
        <w:t>организации деятельности управы района и городских организаций, расположенных в границах муниципального образов</w:t>
      </w:r>
      <w:r w:rsidRPr="005D6087">
        <w:rPr>
          <w:sz w:val="28"/>
          <w:szCs w:val="28"/>
        </w:rPr>
        <w:t>а</w:t>
      </w:r>
      <w:r w:rsidRPr="005D6087">
        <w:rPr>
          <w:sz w:val="28"/>
          <w:szCs w:val="28"/>
        </w:rPr>
        <w:t>ния и</w:t>
      </w:r>
      <w:proofErr w:type="gramEnd"/>
      <w:r w:rsidRPr="005D6087">
        <w:rPr>
          <w:sz w:val="28"/>
          <w:szCs w:val="28"/>
        </w:rPr>
        <w:t xml:space="preserve"> др.</w:t>
      </w:r>
    </w:p>
    <w:p w:rsidR="00DA25E1" w:rsidRPr="00C30780" w:rsidRDefault="00DA25E1" w:rsidP="00DA25E1">
      <w:pPr>
        <w:ind w:firstLine="709"/>
        <w:jc w:val="both"/>
        <w:rPr>
          <w:b/>
          <w:sz w:val="28"/>
          <w:szCs w:val="28"/>
        </w:rPr>
      </w:pPr>
      <w:r w:rsidRPr="005D6087">
        <w:rPr>
          <w:sz w:val="28"/>
          <w:szCs w:val="28"/>
        </w:rPr>
        <w:t xml:space="preserve">В рамках реализации полномочий </w:t>
      </w:r>
      <w:r w:rsidRPr="00C30780">
        <w:rPr>
          <w:b/>
          <w:sz w:val="28"/>
          <w:szCs w:val="28"/>
        </w:rPr>
        <w:t>в сфере благоустройства территории Войковского района:</w:t>
      </w:r>
    </w:p>
    <w:p w:rsidR="00DA25E1" w:rsidRPr="005D6087" w:rsidRDefault="00DA25E1" w:rsidP="00DA2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>1) согласован адресный перечень дворовых территорий для проведения работ по благоустройству в сумме 10 539 430,94 рубля по 47 адресам  (решение СД от 28.04.2015 №07/03);</w:t>
      </w:r>
    </w:p>
    <w:p w:rsidR="00DA25E1" w:rsidRPr="005D6087" w:rsidRDefault="00DA25E1" w:rsidP="00DA2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2) </w:t>
      </w:r>
      <w:r w:rsidRPr="005D6087">
        <w:rPr>
          <w:color w:val="000000"/>
          <w:sz w:val="28"/>
          <w:szCs w:val="28"/>
        </w:rPr>
        <w:t>согласовано проведение проектно-изыскательских работ по благоустройству и озеленению  бульвара по ул. Космонавта Волкова при условии проведения информационной встречи с жителями</w:t>
      </w:r>
      <w:r w:rsidRPr="005D6087">
        <w:rPr>
          <w:rFonts w:eastAsia="Calibri"/>
          <w:sz w:val="28"/>
          <w:szCs w:val="28"/>
          <w:lang w:eastAsia="en-US"/>
        </w:rPr>
        <w:t xml:space="preserve"> (решение СД от 11.10.2016 №12/01).</w:t>
      </w:r>
    </w:p>
    <w:p w:rsidR="00DA25E1" w:rsidRPr="005D6087" w:rsidRDefault="00DA25E1" w:rsidP="00DA25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6087">
        <w:rPr>
          <w:sz w:val="28"/>
          <w:szCs w:val="28"/>
        </w:rPr>
        <w:t xml:space="preserve">В рамках реализации региональной программы капитального ремонта общего имущества в многоквартирных домах на территории города Москвы депутаты Совета депутатов муниципального округа Войковский </w:t>
      </w:r>
      <w:r w:rsidRPr="005D6087">
        <w:rPr>
          <w:b/>
          <w:bCs/>
          <w:sz w:val="28"/>
          <w:szCs w:val="28"/>
        </w:rPr>
        <w:t>участвуют в работе комиссий, осуществляющих открытие работ</w:t>
      </w:r>
      <w:r w:rsidRPr="005D6087">
        <w:rPr>
          <w:bCs/>
          <w:sz w:val="28"/>
          <w:szCs w:val="28"/>
        </w:rPr>
        <w:t xml:space="preserve"> и приемку </w:t>
      </w:r>
      <w:r w:rsidRPr="005D6087">
        <w:rPr>
          <w:bCs/>
          <w:sz w:val="28"/>
          <w:szCs w:val="28"/>
        </w:rPr>
        <w:lastRenderedPageBreak/>
        <w:t>оказанных услуг и (или) выполненных работ по капитальному ремонту общего имущества в многоквартирных домах. Так, в отчетном периоде депутаты СД включены в состав комиссий, формируемых Фондом капитального ремонта многоквартирных домов города Москвы по следующим направлениям:</w:t>
      </w:r>
    </w:p>
    <w:p w:rsidR="00DA25E1" w:rsidRPr="005D6087" w:rsidRDefault="00DA25E1" w:rsidP="00DA2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bCs/>
          <w:sz w:val="28"/>
          <w:szCs w:val="28"/>
        </w:rPr>
        <w:t xml:space="preserve">1) работы </w:t>
      </w:r>
      <w:r w:rsidRPr="005D6087">
        <w:rPr>
          <w:rFonts w:eastAsia="Calibri"/>
          <w:sz w:val="28"/>
          <w:szCs w:val="28"/>
          <w:lang w:eastAsia="en-US"/>
        </w:rPr>
        <w:t>по капитальному ремонту общего имущества в многоквартирном доме – 35 жилых домов;</w:t>
      </w:r>
    </w:p>
    <w:p w:rsidR="00DA25E1" w:rsidRPr="005D6087" w:rsidRDefault="00DA25E1" w:rsidP="00DA25E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2) </w:t>
      </w:r>
      <w:r w:rsidRPr="005D6087">
        <w:rPr>
          <w:rFonts w:eastAsia="Calibri"/>
          <w:bCs/>
          <w:sz w:val="28"/>
          <w:szCs w:val="28"/>
          <w:lang w:eastAsia="en-US"/>
        </w:rPr>
        <w:t>работы по разработке проектной сметной документации на капитальный ремонт общего имущества – 42 жилых дома;</w:t>
      </w:r>
    </w:p>
    <w:p w:rsidR="00DA25E1" w:rsidRPr="005D6087" w:rsidRDefault="00DA25E1" w:rsidP="00DA2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bCs/>
          <w:sz w:val="28"/>
          <w:szCs w:val="28"/>
          <w:lang w:eastAsia="en-US"/>
        </w:rPr>
        <w:t xml:space="preserve">3) </w:t>
      </w:r>
      <w:r w:rsidRPr="005D6087">
        <w:rPr>
          <w:rFonts w:eastAsia="Calibri"/>
          <w:sz w:val="28"/>
          <w:szCs w:val="28"/>
          <w:lang w:eastAsia="en-US"/>
        </w:rPr>
        <w:t xml:space="preserve">работ по ремонту фасадов– 8 жилых домов; </w:t>
      </w:r>
    </w:p>
    <w:p w:rsidR="00DA25E1" w:rsidRPr="005D6087" w:rsidRDefault="00DA25E1" w:rsidP="00DA25E1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>4) работы по замене лифтов, в том числе по разработке проектной сметной документации – 2 жилых дома.</w:t>
      </w: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Депутаты СД активно участвуют в работе комиссий по открытию объе</w:t>
      </w:r>
      <w:r w:rsidRPr="005D6087">
        <w:rPr>
          <w:sz w:val="28"/>
          <w:szCs w:val="28"/>
        </w:rPr>
        <w:t>к</w:t>
      </w:r>
      <w:r w:rsidRPr="005D6087">
        <w:rPr>
          <w:sz w:val="28"/>
          <w:szCs w:val="28"/>
        </w:rPr>
        <w:t>тов и приемке выполненных работ, за каждым депутатом СД закреплены соответс</w:t>
      </w:r>
      <w:r w:rsidRPr="005D6087">
        <w:rPr>
          <w:sz w:val="28"/>
          <w:szCs w:val="28"/>
        </w:rPr>
        <w:t>т</w:t>
      </w:r>
      <w:r w:rsidRPr="005D6087">
        <w:rPr>
          <w:sz w:val="28"/>
          <w:szCs w:val="28"/>
        </w:rPr>
        <w:t>вующие адреса (решения СД № 04/05 от 09.03.2016, №09/01 от 28.06.2016, № 10/04 от 11.08.2016, №14/03 от 13.12.2016).</w:t>
      </w:r>
    </w:p>
    <w:p w:rsidR="00DA25E1" w:rsidRPr="005D6087" w:rsidRDefault="00DA25E1" w:rsidP="00DA25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>Кроме того, депутаты Совета депутатов на закрепленных за ними территориях принимали участие в работе комиссий по открытию и приемке работ по ремонту подъездов, проводимых за счет средств управляющих компаний.</w:t>
      </w:r>
    </w:p>
    <w:p w:rsidR="00DA25E1" w:rsidRPr="005D6087" w:rsidRDefault="00DA25E1" w:rsidP="00DA2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Москвы от 02.07.2013 №428-ПП и на основании Порядка согласования установки ограждающего устройства на придомовой территории в муниципальном округе Войковский согласована </w:t>
      </w:r>
      <w:r w:rsidRPr="00C30780">
        <w:rPr>
          <w:rFonts w:eastAsia="Calibri"/>
          <w:b/>
          <w:sz w:val="28"/>
          <w:szCs w:val="28"/>
          <w:lang w:eastAsia="en-US"/>
        </w:rPr>
        <w:t>установка ограждающих устройств</w:t>
      </w:r>
      <w:r w:rsidRPr="005D6087">
        <w:rPr>
          <w:rFonts w:eastAsia="Calibri"/>
          <w:b/>
          <w:sz w:val="28"/>
          <w:szCs w:val="28"/>
          <w:lang w:eastAsia="en-US"/>
        </w:rPr>
        <w:t xml:space="preserve"> по 17-ти адресам</w:t>
      </w:r>
      <w:r w:rsidRPr="005D6087">
        <w:rPr>
          <w:rFonts w:eastAsia="Calibri"/>
          <w:sz w:val="28"/>
          <w:szCs w:val="28"/>
          <w:lang w:eastAsia="en-US"/>
        </w:rPr>
        <w:t>.</w:t>
      </w:r>
    </w:p>
    <w:p w:rsidR="00DA25E1" w:rsidRPr="005D6087" w:rsidRDefault="00DA25E1" w:rsidP="00DA25E1">
      <w:pPr>
        <w:ind w:firstLine="709"/>
        <w:jc w:val="both"/>
        <w:rPr>
          <w:color w:val="000000"/>
          <w:sz w:val="28"/>
          <w:szCs w:val="28"/>
        </w:rPr>
      </w:pPr>
      <w:r w:rsidRPr="00C30780">
        <w:rPr>
          <w:b/>
          <w:color w:val="000000"/>
          <w:sz w:val="28"/>
          <w:szCs w:val="28"/>
        </w:rPr>
        <w:t>В сфере размещения объектов некапитального строительства рассматривались вопросы</w:t>
      </w:r>
      <w:r>
        <w:rPr>
          <w:b/>
          <w:color w:val="000000"/>
          <w:sz w:val="28"/>
          <w:szCs w:val="28"/>
        </w:rPr>
        <w:t xml:space="preserve"> </w:t>
      </w:r>
      <w:r w:rsidRPr="00C30780">
        <w:rPr>
          <w:color w:val="000000"/>
          <w:sz w:val="28"/>
          <w:szCs w:val="28"/>
        </w:rPr>
        <w:t>согласования</w:t>
      </w:r>
      <w:r w:rsidRPr="005D6087">
        <w:rPr>
          <w:color w:val="000000"/>
          <w:sz w:val="28"/>
          <w:szCs w:val="28"/>
        </w:rPr>
        <w:t xml:space="preserve"> размещения сезонных кафе при стационарных объектах общественного питания, торговых павильонов, лотков по реализации печатной продукции, а также вопросы внесения изменений в схему размещения нестационарных торговых объектов на территории Войковского района.</w:t>
      </w:r>
    </w:p>
    <w:p w:rsidR="00DA25E1" w:rsidRPr="00C30780" w:rsidRDefault="00DA25E1" w:rsidP="00DA25E1">
      <w:pPr>
        <w:ind w:firstLine="720"/>
        <w:jc w:val="both"/>
        <w:rPr>
          <w:sz w:val="28"/>
          <w:szCs w:val="28"/>
        </w:rPr>
      </w:pPr>
      <w:r w:rsidRPr="00C30780">
        <w:rPr>
          <w:b/>
          <w:sz w:val="28"/>
          <w:szCs w:val="28"/>
        </w:rPr>
        <w:t>В сфере организации деятельности управы района и городских орган</w:t>
      </w:r>
      <w:r w:rsidRPr="00C30780">
        <w:rPr>
          <w:b/>
          <w:sz w:val="28"/>
          <w:szCs w:val="28"/>
        </w:rPr>
        <w:t>и</w:t>
      </w:r>
      <w:r w:rsidRPr="00C30780">
        <w:rPr>
          <w:b/>
          <w:sz w:val="28"/>
          <w:szCs w:val="28"/>
        </w:rPr>
        <w:t>заций, расположенных в границах муниципального образования.</w:t>
      </w:r>
      <w:r w:rsidRPr="00C30780">
        <w:rPr>
          <w:sz w:val="28"/>
          <w:szCs w:val="28"/>
        </w:rPr>
        <w:t xml:space="preserve"> </w:t>
      </w:r>
    </w:p>
    <w:p w:rsidR="00DA25E1" w:rsidRPr="005D6087" w:rsidRDefault="00DA25E1" w:rsidP="00DA25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>09.03.2016 года на заседании Совета депутатов заслушан отчет и.о. главы управы Войковского района Каргина Н.И. о результатах деятельности управы района в 2015 году; заслушана информация директора ГБУ «</w:t>
      </w:r>
      <w:proofErr w:type="spellStart"/>
      <w:r w:rsidRPr="005D6087">
        <w:rPr>
          <w:rFonts w:eastAsia="Calibri"/>
          <w:sz w:val="28"/>
          <w:szCs w:val="28"/>
          <w:lang w:eastAsia="en-US"/>
        </w:rPr>
        <w:t>Жилищник</w:t>
      </w:r>
      <w:proofErr w:type="spellEnd"/>
      <w:r w:rsidRPr="005D6087">
        <w:rPr>
          <w:rFonts w:eastAsia="Calibri"/>
          <w:sz w:val="28"/>
          <w:szCs w:val="28"/>
          <w:lang w:eastAsia="en-US"/>
        </w:rPr>
        <w:t xml:space="preserve"> района Войковский» Осиповой Л.Б., главного врача ГБУЗ «ДГМ №133 ДЗМ» Лазаревой С.И., и.о. главного врача ГБУЗ «ГП №45 ДЗМ» Гладких Е.В., заведующего филиалом «Войковский» ГБУ ТЦСО «Тимирязевский» филиал «Войковский» Пряхиной Л.Н. </w:t>
      </w:r>
    </w:p>
    <w:p w:rsidR="00DA25E1" w:rsidRPr="005D6087" w:rsidRDefault="00DA25E1" w:rsidP="00DA25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>Работа управы  и городских организаций была принята к сведению.</w:t>
      </w:r>
    </w:p>
    <w:p w:rsidR="00DA25E1" w:rsidRPr="005D6087" w:rsidRDefault="00DA25E1" w:rsidP="00DA25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На заседании 26.01.2016 года </w:t>
      </w:r>
      <w:proofErr w:type="gramStart"/>
      <w:r w:rsidRPr="005D6087">
        <w:rPr>
          <w:rFonts w:eastAsia="Calibri"/>
          <w:sz w:val="28"/>
          <w:szCs w:val="28"/>
          <w:lang w:eastAsia="en-US"/>
        </w:rPr>
        <w:t>отчитался о результатах</w:t>
      </w:r>
      <w:proofErr w:type="gramEnd"/>
      <w:r w:rsidRPr="005D6087">
        <w:rPr>
          <w:rFonts w:eastAsia="Calibri"/>
          <w:sz w:val="28"/>
          <w:szCs w:val="28"/>
          <w:lang w:eastAsia="en-US"/>
        </w:rPr>
        <w:t xml:space="preserve"> деятельности за 2015 год и. о. начальника Отдела МВД России по Войковскому району Горелов К.В. </w:t>
      </w:r>
    </w:p>
    <w:p w:rsidR="00DA25E1" w:rsidRPr="005D6087" w:rsidRDefault="00DA25E1" w:rsidP="00DA25E1">
      <w:pPr>
        <w:ind w:firstLine="709"/>
        <w:jc w:val="both"/>
        <w:rPr>
          <w:b/>
          <w:i/>
          <w:color w:val="1F497D"/>
          <w:sz w:val="28"/>
          <w:szCs w:val="28"/>
          <w:u w:val="single"/>
        </w:rPr>
      </w:pPr>
    </w:p>
    <w:p w:rsidR="00DA25E1" w:rsidRPr="00C30780" w:rsidRDefault="00DA25E1" w:rsidP="00DA25E1">
      <w:pPr>
        <w:ind w:firstLine="709"/>
        <w:jc w:val="both"/>
        <w:rPr>
          <w:b/>
          <w:sz w:val="28"/>
          <w:szCs w:val="28"/>
        </w:rPr>
      </w:pPr>
      <w:r w:rsidRPr="00C30780">
        <w:rPr>
          <w:b/>
          <w:sz w:val="28"/>
          <w:szCs w:val="28"/>
        </w:rPr>
        <w:lastRenderedPageBreak/>
        <w:t>В сфере дополнительных мероприятий по социально-экономическому развитию района.</w:t>
      </w:r>
    </w:p>
    <w:p w:rsidR="00DA25E1" w:rsidRPr="005D6087" w:rsidRDefault="00DA25E1" w:rsidP="00DA25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>На заседаниях согласованы дополнительные мероприятия по СЭРР на 2016 год, которые включают в себя:</w:t>
      </w:r>
    </w:p>
    <w:p w:rsidR="00DA25E1" w:rsidRPr="005D6087" w:rsidRDefault="00DA25E1" w:rsidP="00DA25E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>утверждение дополнительных мероприятий на выполнение работ по благоустройству территории Войковского района в 2017 году в сумме 5 677 060,00 рублей  по 7 адресам (решение СД от 13.12.2016 №14/10).</w:t>
      </w:r>
    </w:p>
    <w:p w:rsidR="00DA25E1" w:rsidRPr="00C30780" w:rsidRDefault="00DA25E1" w:rsidP="00DA25E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C30780">
        <w:rPr>
          <w:rFonts w:eastAsia="Calibri"/>
          <w:b/>
          <w:sz w:val="28"/>
          <w:szCs w:val="28"/>
          <w:lang w:eastAsia="en-US"/>
        </w:rPr>
        <w:t>В сфере работы с населением по месту жительства.</w:t>
      </w:r>
    </w:p>
    <w:p w:rsidR="00DA25E1" w:rsidRPr="005D6087" w:rsidRDefault="00DA25E1" w:rsidP="00DA25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На заседаниях 09.03.2016, 17.05.2016, 11.10.2016 и 13.12.2016 гг.  согласован внесенный главой управы Войковского района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жительства. </w:t>
      </w:r>
    </w:p>
    <w:p w:rsidR="00DA25E1" w:rsidRPr="005D6087" w:rsidRDefault="00DA25E1" w:rsidP="00DA25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>Кроме того, согласован перечень нежилых помещений для работы с населением по месту жительства (решение СД от 07.06.2017 №08/03).</w:t>
      </w:r>
    </w:p>
    <w:p w:rsidR="00DA25E1" w:rsidRPr="005D6087" w:rsidRDefault="00DA25E1" w:rsidP="00DA25E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>В рамках реализации Постановления Правительства Москвы от 26.12.2012 №849 «О стимулировании управ районов города Москвы» велась работа по согласованию направлений расходования средств, выделенных на стимулирование управы Войковского района. Были приняты решения:</w:t>
      </w:r>
    </w:p>
    <w:p w:rsidR="00DA25E1" w:rsidRPr="005D6087" w:rsidRDefault="00DA25E1" w:rsidP="00DA25E1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6087">
        <w:rPr>
          <w:rFonts w:eastAsia="Calibri"/>
          <w:sz w:val="28"/>
          <w:szCs w:val="28"/>
          <w:lang w:eastAsia="en-US"/>
        </w:rPr>
        <w:t xml:space="preserve">от 19.04.2016 №06/04 - мероприятия по благоустройству 7 дворовых территорий (по адресам: 4-й Войковский </w:t>
      </w:r>
      <w:proofErr w:type="spellStart"/>
      <w:r w:rsidRPr="005D6087">
        <w:rPr>
          <w:rFonts w:eastAsia="Calibri"/>
          <w:sz w:val="28"/>
          <w:szCs w:val="28"/>
          <w:lang w:eastAsia="en-US"/>
        </w:rPr>
        <w:t>пр-д</w:t>
      </w:r>
      <w:proofErr w:type="spellEnd"/>
      <w:r w:rsidRPr="005D6087">
        <w:rPr>
          <w:rFonts w:eastAsia="Calibri"/>
          <w:sz w:val="28"/>
          <w:szCs w:val="28"/>
          <w:lang w:eastAsia="en-US"/>
        </w:rPr>
        <w:t xml:space="preserve">., д.8; 3-я Радиаторская д.5, к.1,2,3; 4-й Войковский пр., д.10, д.4, Ленинградское </w:t>
      </w:r>
      <w:proofErr w:type="spellStart"/>
      <w:r w:rsidRPr="005D6087">
        <w:rPr>
          <w:rFonts w:eastAsia="Calibri"/>
          <w:sz w:val="28"/>
          <w:szCs w:val="28"/>
          <w:lang w:eastAsia="en-US"/>
        </w:rPr>
        <w:t>ш</w:t>
      </w:r>
      <w:proofErr w:type="spellEnd"/>
      <w:r w:rsidRPr="005D6087">
        <w:rPr>
          <w:rFonts w:eastAsia="Calibri"/>
          <w:sz w:val="28"/>
          <w:szCs w:val="28"/>
          <w:lang w:eastAsia="en-US"/>
        </w:rPr>
        <w:t>., д.19, д.21; ул. Адмирала Макарова, д.11, д.13; 2-й Новоподмосковный пер.,  д.10, к.1, к. 2;</w:t>
      </w:r>
      <w:proofErr w:type="gramEnd"/>
      <w:r w:rsidRPr="005D6087">
        <w:rPr>
          <w:rFonts w:eastAsia="Calibri"/>
          <w:sz w:val="28"/>
          <w:szCs w:val="28"/>
          <w:lang w:eastAsia="en-US"/>
        </w:rPr>
        <w:t xml:space="preserve"> ул. Адмирала Макарова д.9, д.9А.)</w:t>
      </w:r>
      <w:r w:rsidRPr="005D6087">
        <w:rPr>
          <w:rFonts w:eastAsia="Calibri"/>
          <w:b/>
          <w:sz w:val="28"/>
          <w:szCs w:val="28"/>
          <w:lang w:eastAsia="en-US"/>
        </w:rPr>
        <w:t xml:space="preserve"> сумму 2 847 215,40 </w:t>
      </w:r>
      <w:proofErr w:type="spellStart"/>
      <w:r w:rsidRPr="005D6087">
        <w:rPr>
          <w:rFonts w:eastAsia="Calibri"/>
          <w:b/>
          <w:sz w:val="28"/>
          <w:szCs w:val="28"/>
          <w:lang w:eastAsia="en-US"/>
        </w:rPr>
        <w:t>руб</w:t>
      </w:r>
      <w:proofErr w:type="spellEnd"/>
      <w:r w:rsidRPr="005D6087">
        <w:rPr>
          <w:rFonts w:eastAsia="Calibri"/>
          <w:sz w:val="28"/>
          <w:szCs w:val="28"/>
          <w:lang w:eastAsia="en-US"/>
        </w:rPr>
        <w:t>;</w:t>
      </w:r>
    </w:p>
    <w:p w:rsidR="00DA25E1" w:rsidRPr="005D6087" w:rsidRDefault="00DA25E1" w:rsidP="00DA25E1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от 19.04.2016 №06/05 – мероприятия по благоустройству дворовых территорий в рамках реализации программы «Жилище» (12 дворовых территорий) </w:t>
      </w:r>
      <w:r w:rsidRPr="005D6087">
        <w:rPr>
          <w:rFonts w:eastAsia="Calibri"/>
          <w:b/>
          <w:sz w:val="28"/>
          <w:szCs w:val="28"/>
          <w:lang w:eastAsia="en-US"/>
        </w:rPr>
        <w:t>на сумму 4 672 100,00 руб.</w:t>
      </w:r>
      <w:r w:rsidRPr="005D6087">
        <w:rPr>
          <w:rFonts w:eastAsia="Calibri"/>
          <w:sz w:val="28"/>
          <w:szCs w:val="28"/>
          <w:lang w:eastAsia="en-US"/>
        </w:rPr>
        <w:t>;</w:t>
      </w:r>
    </w:p>
    <w:p w:rsidR="00DA25E1" w:rsidRPr="005D6087" w:rsidRDefault="00DA25E1" w:rsidP="00DA25E1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от 17.05.20156 №07/01 – мероприятия по благоустройству территорий района по объектам, ставшим победителями голосования на портале «Активный гражданин» по  адресам: Ленинградское шоссе, д. 29-35 (зона отдыха «Лебедь»), ул. З. и А. Космодемьянских, д.6 (детская и спортивная площадки) </w:t>
      </w:r>
      <w:r w:rsidRPr="005D6087">
        <w:rPr>
          <w:rFonts w:eastAsia="Calibri"/>
          <w:b/>
          <w:sz w:val="28"/>
          <w:szCs w:val="28"/>
          <w:lang w:eastAsia="en-US"/>
        </w:rPr>
        <w:t>на сумму 16 367 114,48 руб</w:t>
      </w:r>
      <w:r w:rsidRPr="005D6087">
        <w:rPr>
          <w:rFonts w:eastAsia="Calibri"/>
          <w:sz w:val="28"/>
          <w:szCs w:val="28"/>
          <w:lang w:eastAsia="en-US"/>
        </w:rPr>
        <w:t>.;</w:t>
      </w:r>
    </w:p>
    <w:p w:rsidR="00DA25E1" w:rsidRPr="005D6087" w:rsidRDefault="00DA25E1" w:rsidP="00DA25E1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от 28.06.2016 №09/02 – выполнение работ по благоустройству дворовых территорий по </w:t>
      </w:r>
      <w:r w:rsidRPr="005D6087">
        <w:rPr>
          <w:rFonts w:eastAsia="Calibri"/>
          <w:b/>
          <w:sz w:val="28"/>
          <w:szCs w:val="28"/>
          <w:lang w:eastAsia="en-US"/>
        </w:rPr>
        <w:t>6</w:t>
      </w:r>
      <w:r w:rsidRPr="005D6087">
        <w:rPr>
          <w:rFonts w:eastAsia="Calibri"/>
          <w:sz w:val="28"/>
          <w:szCs w:val="28"/>
          <w:lang w:eastAsia="en-US"/>
        </w:rPr>
        <w:t xml:space="preserve"> адресам </w:t>
      </w:r>
      <w:r w:rsidRPr="005D6087">
        <w:rPr>
          <w:rFonts w:eastAsia="Calibri"/>
          <w:b/>
          <w:sz w:val="28"/>
          <w:szCs w:val="28"/>
          <w:lang w:eastAsia="en-US"/>
        </w:rPr>
        <w:t>на сумму 1 058 394,77 руб.</w:t>
      </w:r>
      <w:r w:rsidRPr="005D6087">
        <w:rPr>
          <w:rFonts w:eastAsia="Calibri"/>
          <w:sz w:val="28"/>
          <w:szCs w:val="28"/>
          <w:lang w:eastAsia="en-US"/>
        </w:rPr>
        <w:t>;</w:t>
      </w:r>
    </w:p>
    <w:p w:rsidR="00DA25E1" w:rsidRPr="005D6087" w:rsidRDefault="00DA25E1" w:rsidP="00DA25E1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от 28.06.2016 №09/03 – изготовление проектно-сметной документации для проведения комплексного благоустройства по адресу: Ленинградское шоссе, д.9, корп.1, стр.5 </w:t>
      </w:r>
      <w:r w:rsidRPr="005D6087">
        <w:rPr>
          <w:rFonts w:eastAsia="Calibri"/>
          <w:b/>
          <w:sz w:val="28"/>
          <w:szCs w:val="28"/>
          <w:lang w:eastAsia="en-US"/>
        </w:rPr>
        <w:t>на сумму 70 000,00 руб.</w:t>
      </w:r>
      <w:r w:rsidRPr="005D6087">
        <w:rPr>
          <w:rFonts w:eastAsia="Calibri"/>
          <w:sz w:val="28"/>
          <w:szCs w:val="28"/>
          <w:lang w:eastAsia="en-US"/>
        </w:rPr>
        <w:t>;</w:t>
      </w:r>
    </w:p>
    <w:p w:rsidR="00DA25E1" w:rsidRPr="005D6087" w:rsidRDefault="00DA25E1" w:rsidP="00DA25E1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от 11.08.2016 №10/02 – выполнение работ по благоустройству дворовых территорий по </w:t>
      </w:r>
      <w:r w:rsidRPr="005D6087">
        <w:rPr>
          <w:rFonts w:eastAsia="Calibri"/>
          <w:b/>
          <w:sz w:val="28"/>
          <w:szCs w:val="28"/>
          <w:lang w:eastAsia="en-US"/>
        </w:rPr>
        <w:t>31</w:t>
      </w:r>
      <w:r w:rsidRPr="005D6087">
        <w:rPr>
          <w:rFonts w:eastAsia="Calibri"/>
          <w:sz w:val="28"/>
          <w:szCs w:val="28"/>
          <w:lang w:eastAsia="en-US"/>
        </w:rPr>
        <w:t xml:space="preserve"> адресу</w:t>
      </w:r>
      <w:r w:rsidRPr="005D6087">
        <w:rPr>
          <w:rFonts w:eastAsia="Calibri"/>
          <w:b/>
          <w:sz w:val="28"/>
          <w:szCs w:val="28"/>
          <w:lang w:eastAsia="en-US"/>
        </w:rPr>
        <w:t xml:space="preserve"> на сумму 3 112 105,23 руб.</w:t>
      </w:r>
      <w:r w:rsidRPr="005D6087">
        <w:rPr>
          <w:rFonts w:eastAsia="Calibri"/>
          <w:sz w:val="28"/>
          <w:szCs w:val="28"/>
          <w:lang w:eastAsia="en-US"/>
        </w:rPr>
        <w:t>;</w:t>
      </w:r>
    </w:p>
    <w:p w:rsidR="00DA25E1" w:rsidRPr="005D6087" w:rsidRDefault="00DA25E1" w:rsidP="00DA25E1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 от 11.08.2016 №10/03 – выполнение работ по благоустройству дворовых территорий по </w:t>
      </w:r>
      <w:r w:rsidRPr="005D6087">
        <w:rPr>
          <w:rFonts w:eastAsia="Calibri"/>
          <w:b/>
          <w:sz w:val="28"/>
          <w:szCs w:val="28"/>
          <w:lang w:eastAsia="en-US"/>
        </w:rPr>
        <w:t>6</w:t>
      </w:r>
      <w:r w:rsidRPr="005D6087">
        <w:rPr>
          <w:rFonts w:eastAsia="Calibri"/>
          <w:sz w:val="28"/>
          <w:szCs w:val="28"/>
          <w:lang w:eastAsia="en-US"/>
        </w:rPr>
        <w:t xml:space="preserve"> адресам</w:t>
      </w:r>
      <w:r w:rsidRPr="005D6087">
        <w:rPr>
          <w:rFonts w:eastAsia="Calibri"/>
          <w:b/>
          <w:sz w:val="28"/>
          <w:szCs w:val="28"/>
          <w:lang w:eastAsia="en-US"/>
        </w:rPr>
        <w:t xml:space="preserve"> на сумму 857 438,79 руб.</w:t>
      </w:r>
      <w:r w:rsidRPr="005D6087">
        <w:rPr>
          <w:rFonts w:eastAsia="Calibri"/>
          <w:sz w:val="28"/>
          <w:szCs w:val="28"/>
          <w:lang w:eastAsia="en-US"/>
        </w:rPr>
        <w:t>;</w:t>
      </w:r>
    </w:p>
    <w:p w:rsidR="00DA25E1" w:rsidRPr="005D6087" w:rsidRDefault="00DA25E1" w:rsidP="00DA25E1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от 08.09.2016 №11/03 – выполнение работ по благоустройству дворовых территорий по </w:t>
      </w:r>
      <w:r w:rsidRPr="005D6087">
        <w:rPr>
          <w:rFonts w:eastAsia="Calibri"/>
          <w:b/>
          <w:sz w:val="28"/>
          <w:szCs w:val="28"/>
          <w:lang w:eastAsia="en-US"/>
        </w:rPr>
        <w:t>2</w:t>
      </w:r>
      <w:r w:rsidRPr="005D6087">
        <w:rPr>
          <w:rFonts w:eastAsia="Calibri"/>
          <w:sz w:val="28"/>
          <w:szCs w:val="28"/>
          <w:lang w:eastAsia="en-US"/>
        </w:rPr>
        <w:t xml:space="preserve"> адресам</w:t>
      </w:r>
      <w:r w:rsidRPr="005D6087">
        <w:rPr>
          <w:rFonts w:eastAsia="Calibri"/>
          <w:b/>
          <w:sz w:val="28"/>
          <w:szCs w:val="28"/>
          <w:lang w:eastAsia="en-US"/>
        </w:rPr>
        <w:t xml:space="preserve"> на сумму 1 127 016,57 руб.</w:t>
      </w:r>
      <w:r w:rsidRPr="005D6087">
        <w:rPr>
          <w:rFonts w:eastAsia="Calibri"/>
          <w:sz w:val="28"/>
          <w:szCs w:val="28"/>
          <w:lang w:eastAsia="en-US"/>
        </w:rPr>
        <w:t>;</w:t>
      </w:r>
    </w:p>
    <w:p w:rsidR="00DA25E1" w:rsidRPr="005D6087" w:rsidRDefault="00DA25E1" w:rsidP="00DA25E1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 xml:space="preserve">от 08.09.2016 №11/04 – выполнение работ по благоустройству дворовых территорий по </w:t>
      </w:r>
      <w:r w:rsidRPr="005D6087">
        <w:rPr>
          <w:rFonts w:eastAsia="Calibri"/>
          <w:b/>
          <w:sz w:val="28"/>
          <w:szCs w:val="28"/>
          <w:lang w:eastAsia="en-US"/>
        </w:rPr>
        <w:t>17</w:t>
      </w:r>
      <w:r w:rsidRPr="005D6087">
        <w:rPr>
          <w:rFonts w:eastAsia="Calibri"/>
          <w:sz w:val="28"/>
          <w:szCs w:val="28"/>
          <w:lang w:eastAsia="en-US"/>
        </w:rPr>
        <w:t xml:space="preserve"> адресам </w:t>
      </w:r>
      <w:r w:rsidRPr="005D6087">
        <w:rPr>
          <w:rFonts w:eastAsia="Calibri"/>
          <w:b/>
          <w:sz w:val="28"/>
          <w:szCs w:val="28"/>
          <w:lang w:eastAsia="en-US"/>
        </w:rPr>
        <w:t>на сумму 5 689</w:t>
      </w:r>
      <w:r w:rsidRPr="005D6087">
        <w:rPr>
          <w:rFonts w:eastAsia="Calibri"/>
          <w:sz w:val="28"/>
          <w:szCs w:val="28"/>
          <w:lang w:eastAsia="en-US"/>
        </w:rPr>
        <w:t> 000,34</w:t>
      </w:r>
      <w:r w:rsidRPr="005D6087">
        <w:rPr>
          <w:rFonts w:eastAsia="Calibri"/>
          <w:b/>
          <w:sz w:val="28"/>
          <w:szCs w:val="28"/>
          <w:lang w:eastAsia="en-US"/>
        </w:rPr>
        <w:t xml:space="preserve"> руб.</w:t>
      </w:r>
    </w:p>
    <w:p w:rsidR="00DA25E1" w:rsidRPr="005D6087" w:rsidRDefault="00DA25E1" w:rsidP="00DA25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lastRenderedPageBreak/>
        <w:t>В 2016 году 1 обращение главы муниципального округа в органы государственной власти решение Совета депутатов было признано депутатским запросом:</w:t>
      </w:r>
    </w:p>
    <w:p w:rsidR="00DA25E1" w:rsidRPr="005D6087" w:rsidRDefault="00DA25E1" w:rsidP="00DA25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6087">
        <w:rPr>
          <w:rFonts w:eastAsia="Calibri"/>
          <w:sz w:val="28"/>
          <w:szCs w:val="28"/>
          <w:lang w:eastAsia="en-US"/>
        </w:rPr>
        <w:t>- решение от 19.04.2016 №06/13 направлено на имя Мэра Москвы по вопросу сноса социально важного объекта инфраструктуры Войковского района – магазина непродовольственных товаров «Дачник».</w:t>
      </w:r>
    </w:p>
    <w:p w:rsidR="00DA25E1" w:rsidRPr="005D6087" w:rsidRDefault="00DA25E1" w:rsidP="00DA25E1">
      <w:pPr>
        <w:ind w:right="-1" w:firstLine="567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За отчетный период Советом депутатов муниципального округа Войковский были рассмотрены  поступившие из Головинской межрайонной прокуратуры 2 представления на решения Совета депутатов и 1 предложение о принятии нормативного правового акта, которые были удовлетворены.</w:t>
      </w:r>
    </w:p>
    <w:p w:rsidR="00DA25E1" w:rsidRPr="005D6087" w:rsidRDefault="00DA25E1" w:rsidP="00DA25E1">
      <w:pPr>
        <w:ind w:firstLine="709"/>
        <w:jc w:val="both"/>
        <w:rPr>
          <w:b/>
          <w:sz w:val="28"/>
          <w:szCs w:val="28"/>
        </w:rPr>
      </w:pP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b/>
          <w:sz w:val="28"/>
          <w:szCs w:val="28"/>
        </w:rPr>
        <w:t>Участие депутатов в заседаниях</w:t>
      </w:r>
      <w:r w:rsidRPr="005D6087">
        <w:rPr>
          <w:sz w:val="28"/>
          <w:szCs w:val="28"/>
        </w:rPr>
        <w:t xml:space="preserve">  (общее количество заседаний – 14):</w:t>
      </w:r>
    </w:p>
    <w:tbl>
      <w:tblPr>
        <w:tblW w:w="7797" w:type="dxa"/>
        <w:tblInd w:w="108" w:type="dxa"/>
        <w:tblLayout w:type="fixed"/>
        <w:tblLook w:val="0000"/>
      </w:tblPr>
      <w:tblGrid>
        <w:gridCol w:w="5387"/>
        <w:gridCol w:w="2410"/>
      </w:tblGrid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bottom"/>
          </w:tcPr>
          <w:p w:rsidR="00DA25E1" w:rsidRPr="005D6087" w:rsidRDefault="00DA25E1" w:rsidP="00184726">
            <w:pPr>
              <w:spacing w:line="365" w:lineRule="exact"/>
              <w:ind w:firstLine="709"/>
              <w:rPr>
                <w:b/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 xml:space="preserve">Асланян Эдуард </w:t>
            </w:r>
            <w:proofErr w:type="spellStart"/>
            <w:r w:rsidRPr="005D6087">
              <w:rPr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2410" w:type="dxa"/>
          </w:tcPr>
          <w:p w:rsidR="00DA25E1" w:rsidRPr="005D6087" w:rsidRDefault="00DA25E1" w:rsidP="00184726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A25E1" w:rsidRPr="005D6087" w:rsidRDefault="00DA25E1" w:rsidP="0018472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>13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DA25E1" w:rsidRPr="005D6087" w:rsidRDefault="00DA25E1" w:rsidP="00184726">
            <w:pPr>
              <w:spacing w:line="365" w:lineRule="exact"/>
              <w:ind w:firstLine="709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Белавин Владимир Иван</w:t>
            </w:r>
            <w:r w:rsidRPr="005D6087">
              <w:rPr>
                <w:sz w:val="28"/>
                <w:szCs w:val="28"/>
              </w:rPr>
              <w:t>о</w:t>
            </w:r>
            <w:r w:rsidRPr="005D6087">
              <w:rPr>
                <w:sz w:val="28"/>
                <w:szCs w:val="28"/>
              </w:rPr>
              <w:t>вич</w:t>
            </w:r>
          </w:p>
        </w:tc>
        <w:tc>
          <w:tcPr>
            <w:tcW w:w="2410" w:type="dxa"/>
          </w:tcPr>
          <w:p w:rsidR="00DA25E1" w:rsidRPr="005D6087" w:rsidRDefault="00DA25E1" w:rsidP="0018472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>9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DA25E1" w:rsidRPr="005D6087" w:rsidRDefault="00DA25E1" w:rsidP="00184726">
            <w:pPr>
              <w:spacing w:line="365" w:lineRule="exact"/>
              <w:ind w:firstLine="709"/>
              <w:rPr>
                <w:b/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Гребенкина Ирина Юрьевна</w:t>
            </w:r>
          </w:p>
        </w:tc>
        <w:tc>
          <w:tcPr>
            <w:tcW w:w="2410" w:type="dxa"/>
          </w:tcPr>
          <w:p w:rsidR="00DA25E1" w:rsidRPr="005D6087" w:rsidRDefault="00DA25E1" w:rsidP="0018472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>13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DA25E1" w:rsidRPr="005D6087" w:rsidRDefault="00DA25E1" w:rsidP="00184726">
            <w:pPr>
              <w:spacing w:line="365" w:lineRule="exact"/>
              <w:ind w:firstLine="709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Закондырин Александр Евгеньевич</w:t>
            </w:r>
          </w:p>
        </w:tc>
        <w:tc>
          <w:tcPr>
            <w:tcW w:w="2410" w:type="dxa"/>
          </w:tcPr>
          <w:p w:rsidR="00DA25E1" w:rsidRPr="005D6087" w:rsidRDefault="00DA25E1" w:rsidP="0018472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>11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DA25E1" w:rsidRPr="005D6087" w:rsidRDefault="00DA25E1" w:rsidP="00184726">
            <w:pPr>
              <w:spacing w:line="365" w:lineRule="exact"/>
              <w:ind w:firstLine="709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Круглов Сергей Александрович</w:t>
            </w:r>
          </w:p>
        </w:tc>
        <w:tc>
          <w:tcPr>
            <w:tcW w:w="2410" w:type="dxa"/>
          </w:tcPr>
          <w:p w:rsidR="00DA25E1" w:rsidRPr="005D6087" w:rsidRDefault="00DA25E1" w:rsidP="0018472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>13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DA25E1" w:rsidRPr="005D6087" w:rsidRDefault="00DA25E1" w:rsidP="00184726">
            <w:pPr>
              <w:spacing w:line="365" w:lineRule="exact"/>
              <w:ind w:firstLine="709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Леонтьева Надежда Владимировна</w:t>
            </w:r>
          </w:p>
        </w:tc>
        <w:tc>
          <w:tcPr>
            <w:tcW w:w="2410" w:type="dxa"/>
          </w:tcPr>
          <w:p w:rsidR="00DA25E1" w:rsidRPr="005D6087" w:rsidRDefault="00DA25E1" w:rsidP="0018472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>10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DA25E1" w:rsidRPr="005D6087" w:rsidRDefault="00DA25E1" w:rsidP="00184726">
            <w:pPr>
              <w:spacing w:line="365" w:lineRule="exact"/>
              <w:ind w:firstLine="709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Никитина Людмила Николаевна</w:t>
            </w:r>
          </w:p>
        </w:tc>
        <w:tc>
          <w:tcPr>
            <w:tcW w:w="2410" w:type="dxa"/>
          </w:tcPr>
          <w:p w:rsidR="00DA25E1" w:rsidRPr="005D6087" w:rsidRDefault="00DA25E1" w:rsidP="0018472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>11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DA25E1" w:rsidRPr="005D6087" w:rsidRDefault="00DA25E1" w:rsidP="00184726">
            <w:pPr>
              <w:spacing w:line="365" w:lineRule="exact"/>
              <w:ind w:firstLine="709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Смыслов Николай Вениаминович</w:t>
            </w:r>
          </w:p>
        </w:tc>
        <w:tc>
          <w:tcPr>
            <w:tcW w:w="2410" w:type="dxa"/>
          </w:tcPr>
          <w:p w:rsidR="00DA25E1" w:rsidRPr="005D6087" w:rsidRDefault="00DA25E1" w:rsidP="0018472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>5</w:t>
            </w:r>
          </w:p>
        </w:tc>
      </w:tr>
      <w:tr w:rsidR="00DA25E1" w:rsidRPr="005D6087" w:rsidTr="00184726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DA25E1" w:rsidRPr="005D6087" w:rsidRDefault="00DA25E1" w:rsidP="00184726">
            <w:pPr>
              <w:spacing w:line="365" w:lineRule="exact"/>
              <w:ind w:firstLine="709"/>
              <w:rPr>
                <w:sz w:val="28"/>
                <w:szCs w:val="28"/>
              </w:rPr>
            </w:pPr>
            <w:r w:rsidRPr="005D6087">
              <w:rPr>
                <w:sz w:val="28"/>
                <w:szCs w:val="28"/>
              </w:rPr>
              <w:t>Фатеева Татьяна Евгеньевна</w:t>
            </w:r>
          </w:p>
        </w:tc>
        <w:tc>
          <w:tcPr>
            <w:tcW w:w="2410" w:type="dxa"/>
          </w:tcPr>
          <w:p w:rsidR="00DA25E1" w:rsidRPr="005D6087" w:rsidRDefault="00DA25E1" w:rsidP="0018472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D6087">
              <w:rPr>
                <w:b/>
                <w:sz w:val="28"/>
                <w:szCs w:val="28"/>
              </w:rPr>
              <w:t>13</w:t>
            </w:r>
          </w:p>
        </w:tc>
      </w:tr>
    </w:tbl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</w:p>
    <w:p w:rsidR="00DA25E1" w:rsidRPr="005D6087" w:rsidRDefault="00DA25E1" w:rsidP="00DA25E1">
      <w:pPr>
        <w:ind w:firstLine="709"/>
        <w:jc w:val="both"/>
        <w:rPr>
          <w:sz w:val="28"/>
          <w:szCs w:val="28"/>
        </w:rPr>
      </w:pPr>
      <w:r w:rsidRPr="005D6087">
        <w:rPr>
          <w:sz w:val="28"/>
          <w:szCs w:val="28"/>
        </w:rPr>
        <w:t>Депутаты принимали активное участие в работе Комиссий Совета депут</w:t>
      </w:r>
      <w:r w:rsidRPr="005D6087">
        <w:rPr>
          <w:sz w:val="28"/>
          <w:szCs w:val="28"/>
        </w:rPr>
        <w:t>а</w:t>
      </w:r>
      <w:r w:rsidRPr="005D6087">
        <w:rPr>
          <w:sz w:val="28"/>
          <w:szCs w:val="28"/>
        </w:rPr>
        <w:t>тов, Комиссий администрации и управы Войковского района.</w:t>
      </w:r>
    </w:p>
    <w:p w:rsidR="00DA25E1" w:rsidRPr="005D6087" w:rsidRDefault="00DA25E1" w:rsidP="00DA25E1">
      <w:pPr>
        <w:pStyle w:val="3"/>
        <w:ind w:firstLine="709"/>
        <w:rPr>
          <w:szCs w:val="28"/>
          <w:lang w:val="ru-RU"/>
        </w:rPr>
      </w:pPr>
      <w:r w:rsidRPr="005D6087">
        <w:rPr>
          <w:szCs w:val="28"/>
        </w:rPr>
        <w:t>О деятельности Совета депутатов население информируется через бюллетень «Московский м</w:t>
      </w:r>
      <w:r w:rsidRPr="005D6087">
        <w:rPr>
          <w:szCs w:val="28"/>
        </w:rPr>
        <w:t>у</w:t>
      </w:r>
      <w:r w:rsidRPr="005D6087">
        <w:rPr>
          <w:szCs w:val="28"/>
        </w:rPr>
        <w:t>ниципальный вестник» и сайт органов местного самоуправления муниципального округа Войковский</w:t>
      </w:r>
      <w:r w:rsidRPr="005D6087">
        <w:rPr>
          <w:szCs w:val="28"/>
          <w:lang w:val="ru-RU"/>
        </w:rPr>
        <w:t>:</w:t>
      </w:r>
      <w:r w:rsidRPr="005D6087">
        <w:rPr>
          <w:szCs w:val="28"/>
        </w:rPr>
        <w:t xml:space="preserve"> </w:t>
      </w:r>
      <w:hyperlink r:id="rId5" w:history="1">
        <w:r w:rsidRPr="005D6087">
          <w:rPr>
            <w:rStyle w:val="a5"/>
            <w:szCs w:val="28"/>
            <w:lang w:val="en-US"/>
          </w:rPr>
          <w:t>www</w:t>
        </w:r>
        <w:r w:rsidRPr="005D6087">
          <w:rPr>
            <w:rStyle w:val="a5"/>
            <w:szCs w:val="28"/>
          </w:rPr>
          <w:t>.</w:t>
        </w:r>
        <w:proofErr w:type="spellStart"/>
        <w:r w:rsidRPr="005D6087">
          <w:rPr>
            <w:rStyle w:val="a5"/>
            <w:szCs w:val="28"/>
            <w:lang w:val="en-US"/>
          </w:rPr>
          <w:t>voikovskii</w:t>
        </w:r>
        <w:proofErr w:type="spellEnd"/>
        <w:r w:rsidRPr="005D6087">
          <w:rPr>
            <w:rStyle w:val="a5"/>
            <w:szCs w:val="28"/>
          </w:rPr>
          <w:t>.</w:t>
        </w:r>
        <w:proofErr w:type="spellStart"/>
        <w:r w:rsidRPr="005D6087">
          <w:rPr>
            <w:rStyle w:val="a5"/>
            <w:szCs w:val="28"/>
            <w:lang w:val="en-US"/>
          </w:rPr>
          <w:t>ru</w:t>
        </w:r>
        <w:proofErr w:type="spellEnd"/>
      </w:hyperlink>
      <w:r w:rsidRPr="005D6087">
        <w:rPr>
          <w:szCs w:val="28"/>
          <w:lang w:val="ru-RU"/>
        </w:rPr>
        <w:t xml:space="preserve">. </w:t>
      </w:r>
      <w:r w:rsidRPr="005D6087">
        <w:rPr>
          <w:szCs w:val="28"/>
        </w:rPr>
        <w:t xml:space="preserve"> </w:t>
      </w:r>
    </w:p>
    <w:p w:rsidR="00DA25E1" w:rsidRPr="005D6087" w:rsidRDefault="00DA25E1" w:rsidP="00DA25E1">
      <w:pPr>
        <w:pStyle w:val="3"/>
        <w:ind w:firstLine="709"/>
        <w:rPr>
          <w:szCs w:val="28"/>
        </w:rPr>
      </w:pPr>
      <w:r w:rsidRPr="005D6087">
        <w:rPr>
          <w:szCs w:val="28"/>
        </w:rPr>
        <w:t>Депутаты Совета депутатов регулярно проводят прием населения, за ка</w:t>
      </w:r>
      <w:r w:rsidRPr="005D6087">
        <w:rPr>
          <w:szCs w:val="28"/>
        </w:rPr>
        <w:t>ж</w:t>
      </w:r>
      <w:r w:rsidRPr="005D6087">
        <w:rPr>
          <w:szCs w:val="28"/>
        </w:rPr>
        <w:t>дым депутатом закреплена определенная территория.</w:t>
      </w:r>
    </w:p>
    <w:p w:rsidR="00DA25E1" w:rsidRPr="005D6087" w:rsidRDefault="00DA25E1" w:rsidP="00DA25E1">
      <w:pPr>
        <w:pStyle w:val="3"/>
        <w:ind w:firstLine="709"/>
        <w:rPr>
          <w:szCs w:val="28"/>
        </w:rPr>
      </w:pPr>
      <w:r w:rsidRPr="005D6087">
        <w:rPr>
          <w:szCs w:val="28"/>
        </w:rPr>
        <w:t>Основные вопросы, по которым обращаются граждане – это вопросы улу</w:t>
      </w:r>
      <w:r w:rsidRPr="005D6087">
        <w:rPr>
          <w:szCs w:val="28"/>
        </w:rPr>
        <w:t>ч</w:t>
      </w:r>
      <w:r w:rsidRPr="005D6087">
        <w:rPr>
          <w:szCs w:val="28"/>
        </w:rPr>
        <w:t>шения жилищных условий, вопросы капитального ремонта жилищного фонда, вопросы размещения объектов мелкорозничной сети, вопросы размещения ограждающих устройств на придомовой территории, благоустройство межквартал</w:t>
      </w:r>
      <w:r w:rsidRPr="005D6087">
        <w:rPr>
          <w:szCs w:val="28"/>
        </w:rPr>
        <w:t>ь</w:t>
      </w:r>
      <w:r w:rsidRPr="005D6087">
        <w:rPr>
          <w:szCs w:val="28"/>
        </w:rPr>
        <w:t>ных дворовых территорий, благоустройство скверов, проблемы экологии и озеленения террит</w:t>
      </w:r>
      <w:r w:rsidRPr="005D6087">
        <w:rPr>
          <w:szCs w:val="28"/>
        </w:rPr>
        <w:t>о</w:t>
      </w:r>
      <w:r w:rsidRPr="005D6087">
        <w:rPr>
          <w:szCs w:val="28"/>
        </w:rPr>
        <w:t>рии</w:t>
      </w:r>
      <w:r w:rsidRPr="005D6087">
        <w:rPr>
          <w:szCs w:val="28"/>
          <w:lang w:val="ru-RU"/>
        </w:rPr>
        <w:t xml:space="preserve"> района</w:t>
      </w:r>
      <w:r w:rsidRPr="005D6087">
        <w:rPr>
          <w:szCs w:val="28"/>
        </w:rPr>
        <w:t xml:space="preserve">. </w:t>
      </w:r>
    </w:p>
    <w:p w:rsidR="00DA25E1" w:rsidRPr="005D6087" w:rsidRDefault="00DA25E1" w:rsidP="00DA25E1">
      <w:pPr>
        <w:pStyle w:val="3"/>
        <w:ind w:firstLine="709"/>
        <w:rPr>
          <w:szCs w:val="28"/>
        </w:rPr>
      </w:pPr>
      <w:r w:rsidRPr="005D6087">
        <w:rPr>
          <w:szCs w:val="28"/>
        </w:rPr>
        <w:t>В 201</w:t>
      </w:r>
      <w:r w:rsidRPr="005D6087">
        <w:rPr>
          <w:szCs w:val="28"/>
          <w:lang w:val="ru-RU"/>
        </w:rPr>
        <w:t>6</w:t>
      </w:r>
      <w:r w:rsidRPr="005D6087">
        <w:rPr>
          <w:szCs w:val="28"/>
        </w:rPr>
        <w:t xml:space="preserve"> году непосредственно в Совет депутатов поступило более </w:t>
      </w:r>
      <w:r w:rsidRPr="005D6087">
        <w:rPr>
          <w:szCs w:val="28"/>
          <w:lang w:val="ru-RU"/>
        </w:rPr>
        <w:t>142</w:t>
      </w:r>
      <w:r w:rsidRPr="005D6087">
        <w:rPr>
          <w:szCs w:val="28"/>
        </w:rPr>
        <w:t xml:space="preserve"> обращений от жителей  ра</w:t>
      </w:r>
      <w:r w:rsidRPr="005D6087">
        <w:rPr>
          <w:szCs w:val="28"/>
        </w:rPr>
        <w:t>й</w:t>
      </w:r>
      <w:r w:rsidRPr="005D6087">
        <w:rPr>
          <w:szCs w:val="28"/>
        </w:rPr>
        <w:t>она и организаций по различным вопросам жизнедеятельности, в том числе:</w:t>
      </w:r>
    </w:p>
    <w:p w:rsidR="00DA25E1" w:rsidRPr="005D6087" w:rsidRDefault="00DA25E1" w:rsidP="00DA25E1">
      <w:pPr>
        <w:pStyle w:val="3"/>
        <w:tabs>
          <w:tab w:val="left" w:pos="851"/>
        </w:tabs>
        <w:ind w:firstLine="709"/>
        <w:rPr>
          <w:szCs w:val="28"/>
        </w:rPr>
      </w:pPr>
      <w:r w:rsidRPr="005D6087">
        <w:rPr>
          <w:szCs w:val="28"/>
        </w:rPr>
        <w:t>- по вопросу установки ограждающих устройств на придомовых территор</w:t>
      </w:r>
      <w:r w:rsidRPr="005D6087">
        <w:rPr>
          <w:szCs w:val="28"/>
        </w:rPr>
        <w:t>и</w:t>
      </w:r>
      <w:r w:rsidRPr="005D6087">
        <w:rPr>
          <w:szCs w:val="28"/>
        </w:rPr>
        <w:t>ях района;</w:t>
      </w:r>
    </w:p>
    <w:p w:rsidR="00DA25E1" w:rsidRPr="005D6087" w:rsidRDefault="00DA25E1" w:rsidP="00DA25E1">
      <w:pPr>
        <w:pStyle w:val="3"/>
        <w:ind w:firstLine="709"/>
        <w:rPr>
          <w:szCs w:val="28"/>
          <w:lang w:val="ru-RU"/>
        </w:rPr>
      </w:pPr>
      <w:r w:rsidRPr="005D6087">
        <w:rPr>
          <w:szCs w:val="28"/>
        </w:rPr>
        <w:t xml:space="preserve">- о </w:t>
      </w:r>
      <w:r w:rsidRPr="005D6087">
        <w:rPr>
          <w:szCs w:val="28"/>
          <w:lang w:val="ru-RU"/>
        </w:rPr>
        <w:t>благоустройстве придомовой территории;</w:t>
      </w:r>
    </w:p>
    <w:p w:rsidR="00DA25E1" w:rsidRPr="005D6087" w:rsidRDefault="00DA25E1" w:rsidP="00DA25E1">
      <w:pPr>
        <w:pStyle w:val="3"/>
        <w:ind w:firstLine="709"/>
        <w:rPr>
          <w:szCs w:val="28"/>
          <w:lang w:val="ru-RU"/>
        </w:rPr>
      </w:pPr>
      <w:r w:rsidRPr="005D6087">
        <w:rPr>
          <w:szCs w:val="28"/>
          <w:lang w:val="ru-RU"/>
        </w:rPr>
        <w:t>- о социальной защите и оказании социальной помощи;</w:t>
      </w:r>
    </w:p>
    <w:p w:rsidR="00DA25E1" w:rsidRPr="005D6087" w:rsidRDefault="00DA25E1" w:rsidP="00DA25E1">
      <w:pPr>
        <w:pStyle w:val="3"/>
        <w:ind w:firstLine="709"/>
        <w:rPr>
          <w:szCs w:val="28"/>
          <w:lang w:val="ru-RU"/>
        </w:rPr>
      </w:pPr>
      <w:r w:rsidRPr="005D6087">
        <w:rPr>
          <w:szCs w:val="28"/>
          <w:lang w:val="ru-RU"/>
        </w:rPr>
        <w:lastRenderedPageBreak/>
        <w:t>- об оказании содействия в обустройстве детских и спортивных площадок;</w:t>
      </w:r>
    </w:p>
    <w:p w:rsidR="00DA25E1" w:rsidRPr="005D6087" w:rsidRDefault="00DA25E1" w:rsidP="00DA25E1">
      <w:pPr>
        <w:pStyle w:val="3"/>
        <w:ind w:firstLine="709"/>
        <w:rPr>
          <w:szCs w:val="28"/>
          <w:lang w:val="ru-RU"/>
        </w:rPr>
      </w:pPr>
      <w:r w:rsidRPr="005D6087">
        <w:rPr>
          <w:szCs w:val="28"/>
        </w:rPr>
        <w:t xml:space="preserve">- </w:t>
      </w:r>
      <w:r w:rsidRPr="005D6087">
        <w:rPr>
          <w:szCs w:val="28"/>
          <w:lang w:val="ru-RU"/>
        </w:rPr>
        <w:t>о оказании содействия в улучшении жилищных условий;</w:t>
      </w:r>
    </w:p>
    <w:p w:rsidR="00DA25E1" w:rsidRPr="005D6087" w:rsidRDefault="00DA25E1" w:rsidP="00DA25E1">
      <w:pPr>
        <w:pStyle w:val="3"/>
        <w:ind w:firstLine="709"/>
        <w:rPr>
          <w:szCs w:val="28"/>
          <w:lang w:val="ru-RU"/>
        </w:rPr>
      </w:pPr>
      <w:r w:rsidRPr="005D6087">
        <w:rPr>
          <w:szCs w:val="28"/>
          <w:lang w:val="ru-RU"/>
        </w:rPr>
        <w:t xml:space="preserve">- </w:t>
      </w:r>
      <w:proofErr w:type="gramStart"/>
      <w:r w:rsidRPr="005D6087">
        <w:rPr>
          <w:szCs w:val="28"/>
          <w:lang w:val="ru-RU"/>
        </w:rPr>
        <w:t>о</w:t>
      </w:r>
      <w:proofErr w:type="gramEnd"/>
      <w:r w:rsidRPr="005D6087">
        <w:rPr>
          <w:szCs w:val="28"/>
          <w:lang w:val="ru-RU"/>
        </w:rPr>
        <w:t xml:space="preserve"> оказании содействия в изменении организации дорожного движения, маршрутов движения общественного транспорта и  обустройстве (переносе) остановочных пунктов и др.</w:t>
      </w:r>
    </w:p>
    <w:p w:rsidR="00DA25E1" w:rsidRPr="005D6087" w:rsidRDefault="00DA25E1" w:rsidP="00DA25E1">
      <w:pPr>
        <w:pStyle w:val="3"/>
        <w:ind w:firstLine="709"/>
        <w:rPr>
          <w:b/>
          <w:szCs w:val="28"/>
          <w:lang w:val="ru-RU"/>
        </w:rPr>
      </w:pPr>
      <w:r w:rsidRPr="005D6087">
        <w:rPr>
          <w:szCs w:val="28"/>
        </w:rPr>
        <w:t>В 201</w:t>
      </w:r>
      <w:r w:rsidRPr="005D6087">
        <w:rPr>
          <w:szCs w:val="28"/>
          <w:lang w:val="ru-RU"/>
        </w:rPr>
        <w:t>6</w:t>
      </w:r>
      <w:r w:rsidRPr="005D6087">
        <w:rPr>
          <w:szCs w:val="28"/>
        </w:rPr>
        <w:t xml:space="preserve"> году депутаты Совета депутатов активно участвовали в во встр</w:t>
      </w:r>
      <w:r w:rsidRPr="005D6087">
        <w:rPr>
          <w:szCs w:val="28"/>
        </w:rPr>
        <w:t>е</w:t>
      </w:r>
      <w:r w:rsidRPr="005D6087">
        <w:rPr>
          <w:szCs w:val="28"/>
        </w:rPr>
        <w:t>чах с населением, организуемых управой Войковского района, префектурой САО, профильными департаментами Правительства Москвы, а также в районных, окружных и городских культурно – массовых, спортивных и досуговых мероприят</w:t>
      </w:r>
      <w:r w:rsidRPr="005D6087">
        <w:rPr>
          <w:szCs w:val="28"/>
        </w:rPr>
        <w:t>и</w:t>
      </w:r>
      <w:r w:rsidRPr="005D6087">
        <w:rPr>
          <w:szCs w:val="28"/>
        </w:rPr>
        <w:t>ях, общегородских суббо</w:t>
      </w:r>
      <w:r w:rsidRPr="005D6087">
        <w:rPr>
          <w:szCs w:val="28"/>
          <w:lang w:val="ru-RU"/>
        </w:rPr>
        <w:t>тниках</w:t>
      </w:r>
      <w:r w:rsidRPr="005D6087">
        <w:rPr>
          <w:szCs w:val="28"/>
        </w:rPr>
        <w:t>.</w:t>
      </w:r>
    </w:p>
    <w:p w:rsidR="008561FC" w:rsidRDefault="008561FC"/>
    <w:sectPr w:rsidR="008561FC" w:rsidSect="00DA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220C"/>
    <w:multiLevelType w:val="hybridMultilevel"/>
    <w:tmpl w:val="51023302"/>
    <w:lvl w:ilvl="0" w:tplc="46E419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4E1176"/>
    <w:multiLevelType w:val="hybridMultilevel"/>
    <w:tmpl w:val="3400469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E1"/>
    <w:rsid w:val="001057FF"/>
    <w:rsid w:val="004B3944"/>
    <w:rsid w:val="0060445A"/>
    <w:rsid w:val="006F7E92"/>
    <w:rsid w:val="008561FC"/>
    <w:rsid w:val="00B71798"/>
    <w:rsid w:val="00BE51AC"/>
    <w:rsid w:val="00DA25E1"/>
    <w:rsid w:val="00F5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9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E1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25E1"/>
    <w:pPr>
      <w:widowControl w:val="0"/>
      <w:snapToGrid w:val="0"/>
      <w:ind w:left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A25E1"/>
    <w:pPr>
      <w:ind w:firstLine="567"/>
      <w:jc w:val="both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DA25E1"/>
    <w:rPr>
      <w:rFonts w:eastAsia="Times New Roman" w:cs="Times New Roman"/>
      <w:szCs w:val="20"/>
      <w:lang/>
    </w:rPr>
  </w:style>
  <w:style w:type="paragraph" w:styleId="a3">
    <w:name w:val="Title"/>
    <w:basedOn w:val="a"/>
    <w:link w:val="a4"/>
    <w:qFormat/>
    <w:rsid w:val="00DA25E1"/>
    <w:pPr>
      <w:ind w:firstLine="567"/>
      <w:jc w:val="center"/>
    </w:pPr>
    <w:rPr>
      <w:b/>
      <w:sz w:val="40"/>
      <w:szCs w:val="20"/>
      <w:lang/>
    </w:rPr>
  </w:style>
  <w:style w:type="character" w:customStyle="1" w:styleId="a4">
    <w:name w:val="Название Знак"/>
    <w:basedOn w:val="a0"/>
    <w:link w:val="a3"/>
    <w:rsid w:val="00DA25E1"/>
    <w:rPr>
      <w:rFonts w:eastAsia="Times New Roman" w:cs="Times New Roman"/>
      <w:b/>
      <w:sz w:val="40"/>
      <w:szCs w:val="20"/>
      <w:lang/>
    </w:rPr>
  </w:style>
  <w:style w:type="character" w:styleId="a5">
    <w:name w:val="Hyperlink"/>
    <w:unhideWhenUsed/>
    <w:rsid w:val="00DA2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ikovski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10065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2017-02-27T09:21:00Z</dcterms:created>
  <dcterms:modified xsi:type="dcterms:W3CDTF">2017-02-27T09:21:00Z</dcterms:modified>
</cp:coreProperties>
</file>